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6799E" w14:textId="77777777" w:rsidR="006C6ABC" w:rsidRDefault="006C6ABC" w:rsidP="004A2E2C">
      <w:pPr>
        <w:spacing w:after="100" w:line="276" w:lineRule="auto"/>
        <w:ind w:left="7080" w:firstLine="708"/>
        <w:jc w:val="both"/>
        <w:rPr>
          <w:rFonts w:eastAsia="Inter"/>
        </w:rPr>
      </w:pPr>
      <w:r>
        <w:rPr>
          <w:rFonts w:eastAsia="Inter"/>
        </w:rPr>
        <w:t>Anexa 6</w:t>
      </w:r>
    </w:p>
    <w:p w14:paraId="43546B3B" w14:textId="2FD61681" w:rsidR="006C6ABC" w:rsidRPr="003F089F" w:rsidRDefault="006C6ABC" w:rsidP="004A2E2C">
      <w:pPr>
        <w:spacing w:after="100" w:line="276" w:lineRule="auto"/>
        <w:ind w:left="2124" w:firstLine="708"/>
        <w:jc w:val="both"/>
        <w:rPr>
          <w:rFonts w:eastAsia="Inter"/>
        </w:rPr>
      </w:pPr>
      <w:r>
        <w:rPr>
          <w:rFonts w:eastAsia="Inter"/>
          <w:b/>
        </w:rPr>
        <w:t>C</w:t>
      </w:r>
      <w:r w:rsidRPr="003F089F">
        <w:rPr>
          <w:rFonts w:eastAsia="Inter"/>
          <w:b/>
        </w:rPr>
        <w:t>heltuieli eligibile</w:t>
      </w:r>
      <w:r w:rsidRPr="003F089F">
        <w:rPr>
          <w:rFonts w:eastAsia="Inter"/>
        </w:rPr>
        <w:t>:</w:t>
      </w:r>
    </w:p>
    <w:p w14:paraId="18A28D94" w14:textId="2F9B61FF" w:rsidR="006C6ABC" w:rsidRPr="00673AC4" w:rsidRDefault="006C6ABC" w:rsidP="00673AC4">
      <w:pPr>
        <w:pStyle w:val="ListParagraph"/>
        <w:numPr>
          <w:ilvl w:val="0"/>
          <w:numId w:val="4"/>
        </w:numPr>
        <w:spacing w:before="100" w:after="100" w:line="276" w:lineRule="auto"/>
        <w:jc w:val="both"/>
        <w:rPr>
          <w:rFonts w:eastAsia="Inter"/>
          <w:highlight w:val="white"/>
        </w:rPr>
      </w:pPr>
      <w:r w:rsidRPr="00673AC4">
        <w:rPr>
          <w:rFonts w:eastAsia="Inter"/>
          <w:highlight w:val="white"/>
        </w:rPr>
        <w:t>cheltuielile materiale directe, inclusiv, dar fără a se limita la acestea, cheltuieli cu materiale consumabile, materiale auxiliare, materiale de natura obiectelor de inventar;</w:t>
      </w:r>
    </w:p>
    <w:p w14:paraId="2F1E23C2" w14:textId="77777777" w:rsidR="006C6ABC" w:rsidRDefault="006C6ABC" w:rsidP="006C6ABC">
      <w:pPr>
        <w:pStyle w:val="ListParagraph"/>
        <w:numPr>
          <w:ilvl w:val="0"/>
          <w:numId w:val="4"/>
        </w:numPr>
        <w:spacing w:before="100" w:after="100" w:line="276" w:lineRule="auto"/>
        <w:jc w:val="both"/>
        <w:rPr>
          <w:rFonts w:eastAsia="Inter"/>
          <w:highlight w:val="white"/>
        </w:rPr>
      </w:pPr>
      <w:r w:rsidRPr="006C6ABC">
        <w:rPr>
          <w:rFonts w:eastAsia="Inter"/>
          <w:highlight w:val="white"/>
        </w:rPr>
        <w:t>cheltuieli cu servicii executate de terți, inclusiv, dar fără a se limita la acestea, cheltuieli cu închirieri de spații pentru desfășurarea activităților culturale, cheltuieli cu închirieri de echipamente, cheltuieli cu studii și cercetări, cheltuieli cu pregătirea personalului, cheltuieli de protocol, comunicare și promovare, cheltuieli cu transportul de bunuri și personal și asigurările aferente, cheltuieli pentru consultanță de specialitate, cheltuieli pentru realizarea de tipărituri, cheltuieli pentru organizarea de evenimente, cheltuieli privind onorarii și drepturi de autor, inclusiv cu evaluarea bunurilor culturale, cheltuieli pentru prestări de servicii fără caracter de continuitate;</w:t>
      </w:r>
    </w:p>
    <w:p w14:paraId="324E9DC6" w14:textId="77777777" w:rsidR="006C6ABC" w:rsidRDefault="006C6ABC" w:rsidP="006C6ABC">
      <w:pPr>
        <w:pStyle w:val="ListParagraph"/>
        <w:numPr>
          <w:ilvl w:val="0"/>
          <w:numId w:val="4"/>
        </w:numPr>
        <w:spacing w:before="100" w:after="100" w:line="276" w:lineRule="auto"/>
        <w:jc w:val="both"/>
        <w:rPr>
          <w:rFonts w:eastAsia="Inter"/>
          <w:highlight w:val="white"/>
        </w:rPr>
      </w:pPr>
      <w:r w:rsidRPr="006C6ABC">
        <w:rPr>
          <w:rFonts w:eastAsia="Inter"/>
          <w:highlight w:val="white"/>
        </w:rPr>
        <w:t xml:space="preserve">cheltuieli cu personalul, inclusiv contribuțiile sociale obligatorii și impozitul pe venit aferente salariilor, </w:t>
      </w:r>
      <w:r w:rsidRPr="006C6ABC">
        <w:rPr>
          <w:rFonts w:eastAsia="Inter"/>
          <w:b/>
          <w:highlight w:val="white"/>
        </w:rPr>
        <w:t>în limita unui procent de cel mult 20%</w:t>
      </w:r>
      <w:r w:rsidRPr="006C6ABC">
        <w:rPr>
          <w:rFonts w:eastAsia="Inter"/>
          <w:highlight w:val="white"/>
        </w:rPr>
        <w:t xml:space="preserve"> din totalul finanțării nerambursabile acordate, cu excepția cheltuielilor salariale ale persoanelor juridice de drept public beneficiare;</w:t>
      </w:r>
    </w:p>
    <w:p w14:paraId="0D0775AC" w14:textId="77777777" w:rsidR="006C6ABC" w:rsidRDefault="006C6ABC" w:rsidP="006C6ABC">
      <w:pPr>
        <w:pStyle w:val="ListParagraph"/>
        <w:numPr>
          <w:ilvl w:val="0"/>
          <w:numId w:val="4"/>
        </w:numPr>
        <w:spacing w:before="100" w:after="100" w:line="276" w:lineRule="auto"/>
        <w:jc w:val="both"/>
        <w:rPr>
          <w:rFonts w:eastAsia="Inter"/>
          <w:highlight w:val="white"/>
        </w:rPr>
      </w:pPr>
      <w:r w:rsidRPr="006C6ABC">
        <w:rPr>
          <w:rFonts w:eastAsia="Inter"/>
          <w:highlight w:val="white"/>
        </w:rPr>
        <w:t>cheltuieli pentru cazarea, masa, transportul intern și internațional al personalului, participanților, invitaților sau beneficiarilor proiectului, sub formă de sume forfetare al căror cuantum se aprobă prin programul de finanțare, inclusiv taxele aferente cazării și/sau transportului, cu încadrarea în limita maximă aprobată, potrivit prevederilor legale aplicabile, pentru invitații secretarilor generali ai ministerelor;</w:t>
      </w:r>
    </w:p>
    <w:p w14:paraId="7239F88F" w14:textId="77777777" w:rsidR="006C6ABC" w:rsidRDefault="006C6ABC" w:rsidP="006C6ABC">
      <w:pPr>
        <w:pStyle w:val="ListParagraph"/>
        <w:numPr>
          <w:ilvl w:val="0"/>
          <w:numId w:val="4"/>
        </w:numPr>
        <w:spacing w:before="100" w:after="100" w:line="276" w:lineRule="auto"/>
        <w:jc w:val="both"/>
        <w:rPr>
          <w:rFonts w:eastAsia="Inter"/>
          <w:highlight w:val="white"/>
        </w:rPr>
      </w:pPr>
      <w:r w:rsidRPr="006C6ABC">
        <w:rPr>
          <w:rFonts w:eastAsia="Inter"/>
          <w:highlight w:val="white"/>
        </w:rPr>
        <w:t xml:space="preserve">cheltuieli cu achiziția de mijloace fixe utilizate exclusiv în scopul implementării proiectului, </w:t>
      </w:r>
      <w:r w:rsidRPr="006C6ABC">
        <w:rPr>
          <w:rFonts w:eastAsia="Inter"/>
          <w:b/>
          <w:highlight w:val="white"/>
        </w:rPr>
        <w:t>în procent de cel mult 25%</w:t>
      </w:r>
      <w:r w:rsidRPr="006C6ABC">
        <w:rPr>
          <w:rFonts w:eastAsia="Inter"/>
          <w:highlight w:val="white"/>
        </w:rPr>
        <w:t xml:space="preserve"> din totalul finanțării nerambursabile acordate;</w:t>
      </w:r>
    </w:p>
    <w:p w14:paraId="3501852E" w14:textId="77777777" w:rsidR="006C6ABC" w:rsidRDefault="006C6ABC" w:rsidP="006C6ABC">
      <w:pPr>
        <w:pStyle w:val="ListParagraph"/>
        <w:numPr>
          <w:ilvl w:val="0"/>
          <w:numId w:val="4"/>
        </w:numPr>
        <w:spacing w:before="100" w:after="100" w:line="276" w:lineRule="auto"/>
        <w:jc w:val="both"/>
        <w:rPr>
          <w:rFonts w:eastAsia="Inter"/>
          <w:highlight w:val="white"/>
        </w:rPr>
      </w:pPr>
      <w:r w:rsidRPr="006C6ABC">
        <w:rPr>
          <w:rFonts w:eastAsia="Inter"/>
          <w:highlight w:val="white"/>
        </w:rPr>
        <w:t>cheltuieli cu premii;</w:t>
      </w:r>
    </w:p>
    <w:p w14:paraId="4597981F" w14:textId="77777777" w:rsidR="00673AC4" w:rsidRDefault="006C6ABC" w:rsidP="00673AC4">
      <w:pPr>
        <w:pStyle w:val="ListParagraph"/>
        <w:numPr>
          <w:ilvl w:val="0"/>
          <w:numId w:val="4"/>
        </w:numPr>
        <w:spacing w:before="100" w:after="100" w:line="276" w:lineRule="auto"/>
        <w:jc w:val="both"/>
        <w:rPr>
          <w:rFonts w:eastAsia="Inter"/>
          <w:highlight w:val="white"/>
        </w:rPr>
      </w:pPr>
      <w:r w:rsidRPr="006C6ABC">
        <w:rPr>
          <w:rFonts w:eastAsia="Inter"/>
          <w:highlight w:val="white"/>
        </w:rPr>
        <w:t xml:space="preserve">cheltuieli cu lucrări care nu necesită autorizație de construire, </w:t>
      </w:r>
      <w:r w:rsidRPr="006C6ABC">
        <w:rPr>
          <w:rFonts w:eastAsia="Inter"/>
          <w:b/>
          <w:highlight w:val="white"/>
        </w:rPr>
        <w:t>în procent de cel mult 10%</w:t>
      </w:r>
      <w:r w:rsidRPr="006C6ABC">
        <w:rPr>
          <w:rFonts w:eastAsia="Inter"/>
          <w:highlight w:val="white"/>
        </w:rPr>
        <w:t xml:space="preserve"> din totalul finanțării nerambursabile acordate.</w:t>
      </w:r>
    </w:p>
    <w:p w14:paraId="5BBD5955" w14:textId="0B012290" w:rsidR="00673AC4" w:rsidRPr="00673AC4" w:rsidRDefault="00673AC4" w:rsidP="00673AC4">
      <w:pPr>
        <w:pStyle w:val="ListParagraph"/>
        <w:numPr>
          <w:ilvl w:val="0"/>
          <w:numId w:val="4"/>
        </w:numPr>
        <w:spacing w:before="100" w:after="100" w:line="276" w:lineRule="auto"/>
        <w:jc w:val="both"/>
        <w:rPr>
          <w:rFonts w:eastAsia="Inter"/>
          <w:highlight w:val="white"/>
        </w:rPr>
      </w:pPr>
      <w:r w:rsidRPr="00673AC4">
        <w:rPr>
          <w:rFonts w:eastAsia="Inter"/>
          <w:highlight w:val="white"/>
        </w:rPr>
        <w:t xml:space="preserve">Cel mult </w:t>
      </w:r>
      <w:r w:rsidRPr="00673AC4">
        <w:rPr>
          <w:rFonts w:eastAsia="Inter"/>
          <w:b/>
          <w:highlight w:val="white"/>
        </w:rPr>
        <w:t>5% din totalul finanțării nerambursabile se poate acorda ca sumă forfetară pentru cheltuieli indirecte eligibile</w:t>
      </w:r>
      <w:r w:rsidRPr="00673AC4">
        <w:rPr>
          <w:rFonts w:eastAsia="Inter"/>
          <w:highlight w:val="white"/>
        </w:rPr>
        <w:t xml:space="preserve"> cum sunt: chirii pentru spațiile în care își desfășoară activitatea beneficiarul, consumabile asociate cu managementul proiectului, costuri pentru comunicații </w:t>
      </w:r>
      <w:r w:rsidRPr="00673AC4">
        <w:rPr>
          <w:rFonts w:eastAsia="Inter"/>
        </w:rPr>
        <w:t>telefonice sau internet, cheltuieli cu energia electrică.</w:t>
      </w:r>
    </w:p>
    <w:p w14:paraId="26180EC1" w14:textId="77777777" w:rsidR="00673AC4" w:rsidRPr="00673AC4" w:rsidRDefault="00673AC4" w:rsidP="00673AC4">
      <w:pPr>
        <w:pStyle w:val="ListParagraph"/>
        <w:numPr>
          <w:ilvl w:val="0"/>
          <w:numId w:val="4"/>
        </w:numPr>
        <w:spacing w:before="100" w:after="100" w:line="276" w:lineRule="auto"/>
        <w:jc w:val="both"/>
        <w:rPr>
          <w:rFonts w:eastAsia="Inter"/>
          <w:highlight w:val="white"/>
        </w:rPr>
      </w:pPr>
      <w:r w:rsidRPr="00C53887">
        <w:t xml:space="preserve">Sumele reprezentând sprijinul financiar acordat </w:t>
      </w:r>
      <w:r>
        <w:t xml:space="preserve">culturii scrise </w:t>
      </w:r>
      <w:r w:rsidRPr="00C53887">
        <w:t>vor acoperi costurile de editare și drepturile de autor până la integral</w:t>
      </w:r>
    </w:p>
    <w:p w14:paraId="549D0BA8" w14:textId="6E6EA760" w:rsidR="006C6ABC" w:rsidRPr="00673AC4" w:rsidRDefault="006C6ABC" w:rsidP="00673AC4">
      <w:pPr>
        <w:pStyle w:val="ListParagraph"/>
        <w:numPr>
          <w:ilvl w:val="0"/>
          <w:numId w:val="4"/>
        </w:numPr>
        <w:spacing w:before="100" w:after="100" w:line="276" w:lineRule="auto"/>
        <w:jc w:val="both"/>
        <w:rPr>
          <w:rFonts w:eastAsia="Inter"/>
          <w:highlight w:val="white"/>
        </w:rPr>
      </w:pPr>
      <w:r w:rsidRPr="00673AC4">
        <w:rPr>
          <w:rFonts w:eastAsia="Inter"/>
          <w:highlight w:val="white"/>
        </w:rPr>
        <w:t>În cazul în care mijloacele fixe achiziționate nu sunt utilizate exclusiv în scopul implementării proiectului, se va acoperi doar amortizarea acestora pentru perioada de implementare a proiectului, fără a se depăși 25% din totalul finanțării nerambursabile acordate.</w:t>
      </w:r>
    </w:p>
    <w:sectPr w:rsidR="006C6ABC" w:rsidRPr="00673AC4" w:rsidSect="004A2E2C">
      <w:pgSz w:w="11906" w:h="16838"/>
      <w:pgMar w:top="42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Inter">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21511"/>
    <w:multiLevelType w:val="multilevel"/>
    <w:tmpl w:val="B3A672C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 w15:restartNumberingAfterBreak="0">
    <w:nsid w:val="2D723129"/>
    <w:multiLevelType w:val="multilevel"/>
    <w:tmpl w:val="80BC2DF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5E9C4186"/>
    <w:multiLevelType w:val="hybridMultilevel"/>
    <w:tmpl w:val="A3CC59D4"/>
    <w:lvl w:ilvl="0" w:tplc="D1845524">
      <w:start w:val="15"/>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6501160B"/>
    <w:multiLevelType w:val="hybridMultilevel"/>
    <w:tmpl w:val="4C58505E"/>
    <w:lvl w:ilvl="0" w:tplc="836E9082">
      <w:start w:val="1"/>
      <w:numFmt w:val="decimal"/>
      <w:lvlText w:val="%1."/>
      <w:lvlJc w:val="left"/>
      <w:pPr>
        <w:ind w:left="720" w:hanging="360"/>
      </w:pPr>
      <w:rPr>
        <w:rFonts w:ascii="Times New Roman" w:eastAsia="Inter" w:hAnsi="Times New Roman" w:cs="Times New Roman"/>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16cid:durableId="764806552">
    <w:abstractNumId w:val="1"/>
  </w:num>
  <w:num w:numId="2" w16cid:durableId="306281625">
    <w:abstractNumId w:val="0"/>
  </w:num>
  <w:num w:numId="3" w16cid:durableId="1671103964">
    <w:abstractNumId w:val="2"/>
  </w:num>
  <w:num w:numId="4" w16cid:durableId="19153856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4DEA"/>
    <w:rsid w:val="004A2E2C"/>
    <w:rsid w:val="00673AC4"/>
    <w:rsid w:val="006C1565"/>
    <w:rsid w:val="006C6ABC"/>
    <w:rsid w:val="00A03BA9"/>
    <w:rsid w:val="00C34DE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A95DC"/>
  <w15:chartTrackingRefBased/>
  <w15:docId w15:val="{459089DA-13D1-418F-A327-24404429D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6AB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6A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402</Words>
  <Characters>2298</Characters>
  <Application>Microsoft Office Word</Application>
  <DocSecurity>0</DocSecurity>
  <Lines>19</Lines>
  <Paragraphs>5</Paragraphs>
  <ScaleCrop>false</ScaleCrop>
  <Company/>
  <LinksUpToDate>false</LinksUpToDate>
  <CharactersWithSpaces>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Ileana</dc:creator>
  <cp:keywords/>
  <dc:description/>
  <cp:lastModifiedBy>Marina Tubrea</cp:lastModifiedBy>
  <cp:revision>4</cp:revision>
  <dcterms:created xsi:type="dcterms:W3CDTF">2023-02-15T07:59:00Z</dcterms:created>
  <dcterms:modified xsi:type="dcterms:W3CDTF">2023-03-07T08:15:00Z</dcterms:modified>
</cp:coreProperties>
</file>